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D5" w:rsidRPr="00836D13" w:rsidRDefault="00CF5D04" w:rsidP="00B13C9D">
      <w:pPr>
        <w:autoSpaceDE w:val="0"/>
        <w:autoSpaceDN w:val="0"/>
        <w:adjustRightInd w:val="0"/>
        <w:spacing w:after="0" w:line="240" w:lineRule="auto"/>
        <w:jc w:val="both"/>
        <w:rPr>
          <w:rFonts w:ascii="Calisto MT" w:hAnsi="Calisto MT"/>
        </w:rPr>
      </w:pPr>
      <w:r>
        <w:rPr>
          <w:rFonts w:ascii="Calisto MT" w:hAnsi="Calisto MT"/>
          <w:noProof/>
          <w:lang w:eastAsia="en-AU"/>
        </w:rPr>
        <w:drawing>
          <wp:inline distT="0" distB="0" distL="0" distR="0">
            <wp:extent cx="2622550" cy="11410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141095"/>
                    </a:xfrm>
                    <a:prstGeom prst="rect">
                      <a:avLst/>
                    </a:prstGeom>
                    <a:noFill/>
                    <a:ln>
                      <a:noFill/>
                    </a:ln>
                  </pic:spPr>
                </pic:pic>
              </a:graphicData>
            </a:graphic>
          </wp:inline>
        </w:drawing>
      </w:r>
    </w:p>
    <w:p w:rsidR="009E66D5" w:rsidRPr="00836D13" w:rsidRDefault="009E66D5" w:rsidP="00B13C9D">
      <w:pPr>
        <w:autoSpaceDE w:val="0"/>
        <w:autoSpaceDN w:val="0"/>
        <w:adjustRightInd w:val="0"/>
        <w:spacing w:after="0" w:line="240" w:lineRule="auto"/>
        <w:jc w:val="both"/>
        <w:rPr>
          <w:rFonts w:ascii="Calisto MT" w:hAnsi="Calisto MT"/>
          <w:b/>
          <w:sz w:val="28"/>
          <w:szCs w:val="28"/>
          <w:lang w:eastAsia="en-AU"/>
        </w:rPr>
      </w:pPr>
    </w:p>
    <w:p w:rsidR="009E66D5" w:rsidRPr="00836D13" w:rsidRDefault="009E66D5" w:rsidP="00AC1C1F">
      <w:pPr>
        <w:pStyle w:val="Heading1"/>
        <w:rPr>
          <w:rFonts w:ascii="Calisto MT" w:hAnsi="Calisto MT"/>
          <w:lang w:eastAsia="en-AU"/>
        </w:rPr>
      </w:pPr>
      <w:r w:rsidRPr="00836D13">
        <w:rPr>
          <w:rFonts w:ascii="Calisto MT" w:hAnsi="Calisto MT"/>
          <w:lang w:eastAsia="en-AU"/>
        </w:rPr>
        <w:t>Criminal History</w:t>
      </w:r>
      <w:r w:rsidR="00CF5D04">
        <w:rPr>
          <w:rFonts w:ascii="Calisto MT" w:hAnsi="Calisto MT"/>
          <w:lang w:eastAsia="en-AU"/>
        </w:rPr>
        <w:t xml:space="preserve"> Register Standard</w:t>
      </w:r>
      <w:bookmarkStart w:id="0" w:name="_GoBack"/>
      <w:bookmarkEnd w:id="0"/>
      <w:r w:rsidRPr="00836D13">
        <w:rPr>
          <w:rFonts w:ascii="Calisto MT" w:hAnsi="Calisto MT"/>
          <w:lang w:eastAsia="en-AU"/>
        </w:rPr>
        <w:t xml:space="preserve"> </w:t>
      </w:r>
    </w:p>
    <w:p w:rsidR="009E66D5" w:rsidRPr="00836D13" w:rsidRDefault="009E66D5" w:rsidP="00B13C9D">
      <w:pPr>
        <w:autoSpaceDE w:val="0"/>
        <w:autoSpaceDN w:val="0"/>
        <w:adjustRightInd w:val="0"/>
        <w:spacing w:after="0" w:line="240" w:lineRule="auto"/>
        <w:jc w:val="both"/>
        <w:rPr>
          <w:rFonts w:ascii="Calisto MT" w:hAnsi="Calisto MT" w:cs="HelveticaNeue-Bold"/>
          <w:b/>
          <w:bCs/>
          <w:color w:val="000000"/>
          <w:sz w:val="24"/>
          <w:szCs w:val="24"/>
          <w:lang w:eastAsia="en-AU"/>
        </w:rPr>
      </w:pPr>
    </w:p>
    <w:p w:rsidR="009E66D5" w:rsidRPr="00836D13" w:rsidRDefault="009E66D5" w:rsidP="00836D13">
      <w:pPr>
        <w:pStyle w:val="Heading3"/>
        <w:rPr>
          <w:rFonts w:ascii="Calisto MT" w:hAnsi="Calisto MT"/>
          <w:lang w:eastAsia="en-AU"/>
        </w:rPr>
      </w:pPr>
      <w:r w:rsidRPr="00836D13">
        <w:rPr>
          <w:rFonts w:ascii="Calisto MT" w:hAnsi="Calisto MT"/>
          <w:lang w:eastAsia="en-AU"/>
        </w:rPr>
        <w:t>Summary</w:t>
      </w:r>
    </w:p>
    <w:p w:rsidR="009E66D5" w:rsidRPr="00836D13" w:rsidRDefault="009E66D5" w:rsidP="00B13C9D">
      <w:p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In deciding whether a health practitioner's criminal history is relevant to the practice of their profession, the Board will consider the 10 factors set out in this standard. While every case will need to be decided on an individual basis, these 10 factors provide the basis for the Board's consideration. </w:t>
      </w:r>
    </w:p>
    <w:p w:rsidR="009E66D5" w:rsidRPr="00836D13" w:rsidRDefault="009E66D5" w:rsidP="00836D13">
      <w:pPr>
        <w:pStyle w:val="Heading3"/>
        <w:rPr>
          <w:rFonts w:ascii="Calisto MT" w:hAnsi="Calisto MT"/>
          <w:lang w:eastAsia="en-AU"/>
        </w:rPr>
      </w:pPr>
      <w:r w:rsidRPr="00836D13">
        <w:rPr>
          <w:rFonts w:ascii="Calisto MT" w:hAnsi="Calisto MT"/>
          <w:lang w:eastAsia="en-AU"/>
        </w:rPr>
        <w:t>Scope of Application</w:t>
      </w:r>
    </w:p>
    <w:p w:rsidR="009E66D5" w:rsidRPr="00836D13" w:rsidRDefault="009E66D5" w:rsidP="00B13C9D">
      <w:p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This standard applies to all applicants and all registered health practitioners. It does not apply to students. </w:t>
      </w:r>
    </w:p>
    <w:p w:rsidR="009E66D5" w:rsidRPr="00836D13" w:rsidRDefault="009E66D5" w:rsidP="00836D13">
      <w:pPr>
        <w:pStyle w:val="Heading3"/>
        <w:rPr>
          <w:rFonts w:ascii="Calisto MT" w:hAnsi="Calisto MT"/>
          <w:lang w:eastAsia="en-AU"/>
        </w:rPr>
      </w:pPr>
      <w:r w:rsidRPr="00836D13">
        <w:rPr>
          <w:rFonts w:ascii="Calisto MT" w:hAnsi="Calisto MT"/>
          <w:lang w:eastAsia="en-AU"/>
        </w:rPr>
        <w:t>Re</w:t>
      </w:r>
      <w:r>
        <w:rPr>
          <w:rFonts w:ascii="Calisto MT" w:hAnsi="Calisto MT"/>
          <w:lang w:eastAsia="en-AU"/>
        </w:rPr>
        <w:t>q</w:t>
      </w:r>
      <w:r w:rsidRPr="00836D13">
        <w:rPr>
          <w:rFonts w:ascii="Calisto MT" w:hAnsi="Calisto MT"/>
          <w:lang w:eastAsia="en-AU"/>
        </w:rPr>
        <w:t>uirements</w:t>
      </w:r>
    </w:p>
    <w:p w:rsidR="009E66D5" w:rsidRPr="00836D13" w:rsidRDefault="009E66D5" w:rsidP="00B13C9D">
      <w:p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In deciding whether a health practitioner's criminal history is relevant to the practice of their profession, the Board will consider the following factors</w:t>
      </w:r>
    </w:p>
    <w:p w:rsidR="009E66D5" w:rsidRPr="00836D13" w:rsidRDefault="009E66D5" w:rsidP="00B13C9D">
      <w:pPr>
        <w:autoSpaceDE w:val="0"/>
        <w:autoSpaceDN w:val="0"/>
        <w:adjustRightInd w:val="0"/>
        <w:spacing w:after="0" w:line="240" w:lineRule="auto"/>
        <w:jc w:val="both"/>
        <w:rPr>
          <w:rFonts w:ascii="Calisto MT" w:hAnsi="Calisto MT" w:cs="HelveticaNeue-Bold"/>
          <w:bCs/>
          <w:color w:val="000000"/>
          <w:sz w:val="24"/>
          <w:szCs w:val="24"/>
          <w:lang w:eastAsia="en-AU"/>
        </w:rPr>
      </w:pP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The nature and gravity of the offence or alleged offence and its relevance to health practice.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The more serious the offence or alleged offence and the greater its relevance to health practice, the more weight that the Board will assign to it. </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The period of time since the health practitioner committed, or allegedly committed, the offence.</w:t>
      </w:r>
    </w:p>
    <w:p w:rsidR="009E66D5" w:rsidRPr="00836D13" w:rsidRDefault="009E66D5" w:rsidP="00B13C9D">
      <w:pPr>
        <w:autoSpaceDE w:val="0"/>
        <w:autoSpaceDN w:val="0"/>
        <w:adjustRightInd w:val="0"/>
        <w:spacing w:after="0" w:line="240" w:lineRule="auto"/>
        <w:ind w:firstLine="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The Board will generally place greater weight on more recent offences. </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Whether a finding of guilt or conviction was recorded for the offence or a charge for the offence is still pending.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In considering the relevance of the criminal history information, the Board is to have regard to the type of criminal history information provided. The following types of criminal history information are to be considered, in desending order of relevance:</w:t>
      </w:r>
    </w:p>
    <w:p w:rsidR="009E66D5" w:rsidRPr="00836D13" w:rsidRDefault="009E66D5" w:rsidP="00B13C9D">
      <w:pPr>
        <w:numPr>
          <w:ilvl w:val="0"/>
          <w:numId w:val="2"/>
        </w:num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Convictions</w:t>
      </w:r>
    </w:p>
    <w:p w:rsidR="009E66D5" w:rsidRPr="00836D13" w:rsidRDefault="009E66D5" w:rsidP="00B13C9D">
      <w:pPr>
        <w:numPr>
          <w:ilvl w:val="0"/>
          <w:numId w:val="2"/>
        </w:num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Findings of guilt</w:t>
      </w:r>
    </w:p>
    <w:p w:rsidR="009E66D5" w:rsidRPr="00836D13" w:rsidRDefault="009E66D5" w:rsidP="00B13C9D">
      <w:pPr>
        <w:numPr>
          <w:ilvl w:val="0"/>
          <w:numId w:val="2"/>
        </w:num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Pending charges</w:t>
      </w:r>
    </w:p>
    <w:p w:rsidR="009E66D5" w:rsidRPr="00836D13" w:rsidRDefault="009E66D5" w:rsidP="00B13C9D">
      <w:pPr>
        <w:numPr>
          <w:ilvl w:val="0"/>
          <w:numId w:val="2"/>
        </w:num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Non-conviction charges; that is, charges that have been resolved otherwise than by a conviction or finding of guilt, taking into account the availability and source of contextual information which may explain why a non conviction charge did not result in a conviction or finding of guilt. </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The sentence imposed for the offence.</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The weight of the Board will place on the sentence will generally increase as the significance of the sentence increases, including any custodial period imposed. The </w:t>
      </w:r>
      <w:r w:rsidRPr="00836D13">
        <w:rPr>
          <w:rFonts w:ascii="Calisto MT" w:hAnsi="Calisto MT" w:cs="HelveticaNeue-Bold"/>
          <w:bCs/>
          <w:color w:val="000000"/>
          <w:sz w:val="24"/>
          <w:szCs w:val="24"/>
          <w:lang w:eastAsia="en-AU"/>
        </w:rPr>
        <w:lastRenderedPageBreak/>
        <w:t xml:space="preserve">Board will also consider any mitigating factors raised in sentencing, where available, including rehabilitation. </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The ages of the health practitioner and any victim at the time the health practitioner committed, or allegedly committed, the offence.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The Board may place less weight on offences committed when the applicant is younger, and particularly under 18 years of age. The Board may place more weight on offences involving victims under 18 years of age or other vulnerable persons. </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Whether or not the conduct that constitued the offence or to which the charge relates has been decriminalised since the health practitioner committed, or allegedly committed, the offence.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The Board will generally place less or no weight on offences that have been decriminalised since the health practitioner committed, or allegedly committed, the offence.</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The health practitioners behaviour since he or she committed, or allegedly committed, the offence.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
          <w:bCs/>
          <w:color w:val="000000"/>
          <w:sz w:val="24"/>
          <w:szCs w:val="24"/>
          <w:lang w:eastAsia="en-AU"/>
        </w:rPr>
      </w:pPr>
      <w:r w:rsidRPr="00836D13">
        <w:rPr>
          <w:rFonts w:ascii="Calisto MT" w:hAnsi="Calisto MT" w:cs="HelveticaNeue-Bold"/>
          <w:bCs/>
          <w:color w:val="000000"/>
          <w:sz w:val="24"/>
          <w:szCs w:val="24"/>
          <w:lang w:eastAsia="en-AU"/>
        </w:rPr>
        <w:t xml:space="preserve">Indications that the offence was an aberration and evidence of good conduct or rehabilitation since the commission, or alleged commission of the offence, will tend to be a mitigating factor. However, indications that the offence is part of a pattern of behaviour will tend to have the opposite effect. </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The likelihood of future threat to a patient of the health practitioner.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
          <w:bCs/>
          <w:color w:val="000000"/>
          <w:sz w:val="24"/>
          <w:szCs w:val="24"/>
          <w:lang w:eastAsia="en-AU"/>
        </w:rPr>
      </w:pPr>
      <w:r w:rsidRPr="00836D13">
        <w:rPr>
          <w:rFonts w:ascii="Calisto MT" w:hAnsi="Calisto MT" w:cs="HelveticaNeue-Bold"/>
          <w:bCs/>
          <w:color w:val="000000"/>
          <w:sz w:val="24"/>
          <w:szCs w:val="24"/>
          <w:lang w:eastAsia="en-AU"/>
        </w:rPr>
        <w:t xml:space="preserve">The Board is likely to place significant weight on the likelihood of future threat to a patient or client of the health practitioner. </w:t>
      </w:r>
      <w:r w:rsidRPr="00836D13">
        <w:rPr>
          <w:rFonts w:ascii="Calisto MT" w:hAnsi="Calisto MT" w:cs="HelveticaNeue-Bold"/>
          <w:b/>
          <w:bCs/>
          <w:color w:val="000000"/>
          <w:sz w:val="24"/>
          <w:szCs w:val="24"/>
          <w:lang w:eastAsia="en-AU"/>
        </w:rPr>
        <w:tab/>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Any information given by the health practitioners.</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
          <w:bCs/>
          <w:color w:val="000000"/>
          <w:sz w:val="24"/>
          <w:szCs w:val="24"/>
          <w:lang w:eastAsia="en-AU"/>
        </w:rPr>
      </w:pPr>
      <w:r w:rsidRPr="00836D13">
        <w:rPr>
          <w:rFonts w:ascii="Calisto MT" w:hAnsi="Calisto MT" w:cs="HelveticaNeue-Bold"/>
          <w:bCs/>
          <w:color w:val="000000"/>
          <w:sz w:val="24"/>
          <w:szCs w:val="24"/>
          <w:lang w:eastAsia="en-AU"/>
        </w:rPr>
        <w:t>Any information provided by the health practitioner such as an explanation or mitigating factors will be reviewed by the Board and taken into account in considering the health practitioner's criminal history.</w:t>
      </w:r>
    </w:p>
    <w:p w:rsidR="009E66D5" w:rsidRPr="00836D13" w:rsidRDefault="009E66D5" w:rsidP="00B13C9D">
      <w:pPr>
        <w:numPr>
          <w:ilvl w:val="0"/>
          <w:numId w:val="1"/>
        </w:numPr>
        <w:autoSpaceDE w:val="0"/>
        <w:autoSpaceDN w:val="0"/>
        <w:adjustRightInd w:val="0"/>
        <w:spacing w:after="0" w:line="240" w:lineRule="auto"/>
        <w:jc w:val="both"/>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 xml:space="preserve">Any other matter that the Board considers relevant. </w:t>
      </w:r>
    </w:p>
    <w:p w:rsidR="009E66D5" w:rsidRPr="00836D13" w:rsidRDefault="009E66D5" w:rsidP="00B13C9D">
      <w:pPr>
        <w:autoSpaceDE w:val="0"/>
        <w:autoSpaceDN w:val="0"/>
        <w:adjustRightInd w:val="0"/>
        <w:spacing w:after="0" w:line="240" w:lineRule="auto"/>
        <w:ind w:left="360"/>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The Board may take into account any other matter that it considers relevant to the application or notification. A Board will not require an applicant to registered health practitioner to provide further information that may prejudice their personal situation pending charges and the Board must not draw any adverse inference as a result of the fact that information has not been provided. </w:t>
      </w:r>
    </w:p>
    <w:p w:rsidR="009E66D5" w:rsidRPr="00836D13" w:rsidRDefault="009E66D5" w:rsidP="00B13C9D">
      <w:pPr>
        <w:autoSpaceDE w:val="0"/>
        <w:autoSpaceDN w:val="0"/>
        <w:adjustRightInd w:val="0"/>
        <w:spacing w:after="0" w:line="240" w:lineRule="auto"/>
        <w:ind w:left="720"/>
        <w:jc w:val="both"/>
        <w:rPr>
          <w:rFonts w:ascii="Calisto MT" w:hAnsi="Calisto MT" w:cs="HelveticaNeue-Bold"/>
          <w:bCs/>
          <w:color w:val="000000"/>
          <w:sz w:val="24"/>
          <w:szCs w:val="24"/>
          <w:lang w:eastAsia="en-AU"/>
        </w:rPr>
      </w:pPr>
    </w:p>
    <w:p w:rsidR="009E66D5" w:rsidRPr="00836D13" w:rsidRDefault="009E66D5" w:rsidP="00B13C9D">
      <w:pPr>
        <w:autoSpaceDE w:val="0"/>
        <w:autoSpaceDN w:val="0"/>
        <w:adjustRightInd w:val="0"/>
        <w:spacing w:after="0" w:line="240" w:lineRule="auto"/>
        <w:jc w:val="both"/>
        <w:rPr>
          <w:rFonts w:ascii="Calisto MT" w:hAnsi="Calisto MT" w:cs="HelveticaNeue-Bold"/>
          <w:bCs/>
          <w:color w:val="000000"/>
          <w:sz w:val="24"/>
          <w:szCs w:val="24"/>
          <w:lang w:eastAsia="en-AU"/>
        </w:rPr>
      </w:pPr>
      <w:r w:rsidRPr="00836D13">
        <w:rPr>
          <w:rFonts w:ascii="Calisto MT" w:hAnsi="Calisto MT" w:cs="HelveticaNeue-Bold"/>
          <w:bCs/>
          <w:color w:val="000000"/>
          <w:sz w:val="24"/>
          <w:szCs w:val="24"/>
          <w:lang w:eastAsia="en-AU"/>
        </w:rPr>
        <w:t xml:space="preserve">Note: The above factors have been numbered for ease of reference only. The numbering does not indicate a priority order of application. </w:t>
      </w:r>
    </w:p>
    <w:p w:rsidR="009E66D5" w:rsidRPr="00836D13" w:rsidRDefault="009E66D5" w:rsidP="00B13C9D">
      <w:pPr>
        <w:autoSpaceDE w:val="0"/>
        <w:autoSpaceDN w:val="0"/>
        <w:adjustRightInd w:val="0"/>
        <w:spacing w:after="0" w:line="240" w:lineRule="auto"/>
        <w:rPr>
          <w:rFonts w:ascii="Calisto MT" w:hAnsi="Calisto MT" w:cs="HelveticaNeue-Bold"/>
          <w:b/>
          <w:bCs/>
          <w:color w:val="000000"/>
          <w:sz w:val="24"/>
          <w:szCs w:val="24"/>
          <w:lang w:eastAsia="en-AU"/>
        </w:rPr>
      </w:pPr>
    </w:p>
    <w:p w:rsidR="009E66D5" w:rsidRPr="00836D13" w:rsidRDefault="009E66D5" w:rsidP="00B13C9D">
      <w:pPr>
        <w:autoSpaceDE w:val="0"/>
        <w:autoSpaceDN w:val="0"/>
        <w:adjustRightInd w:val="0"/>
        <w:spacing w:after="0" w:line="240" w:lineRule="auto"/>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Definitions</w:t>
      </w:r>
    </w:p>
    <w:p w:rsidR="009E66D5" w:rsidRPr="00836D13" w:rsidRDefault="009E66D5" w:rsidP="00B13C9D">
      <w:pPr>
        <w:autoSpaceDE w:val="0"/>
        <w:autoSpaceDN w:val="0"/>
        <w:adjustRightInd w:val="0"/>
        <w:spacing w:after="0" w:line="240" w:lineRule="auto"/>
        <w:rPr>
          <w:rFonts w:ascii="Calisto MT" w:hAnsi="Calisto MT" w:cs="HelveticaNeue"/>
          <w:color w:val="000000"/>
          <w:sz w:val="24"/>
          <w:szCs w:val="18"/>
          <w:lang w:eastAsia="en-AU"/>
        </w:rPr>
      </w:pPr>
      <w:r w:rsidRPr="00836D13">
        <w:rPr>
          <w:rFonts w:ascii="Calisto MT" w:hAnsi="Calisto MT" w:cs="HelveticaNeue"/>
          <w:color w:val="000000"/>
          <w:sz w:val="24"/>
          <w:szCs w:val="18"/>
          <w:lang w:eastAsia="en-AU"/>
        </w:rPr>
        <w:t>Criminal history is defined in the National Law as:</w:t>
      </w:r>
    </w:p>
    <w:p w:rsidR="009E66D5" w:rsidRPr="00836D13" w:rsidRDefault="009E66D5" w:rsidP="00B13C9D">
      <w:pPr>
        <w:numPr>
          <w:ilvl w:val="0"/>
          <w:numId w:val="3"/>
        </w:numPr>
        <w:autoSpaceDE w:val="0"/>
        <w:autoSpaceDN w:val="0"/>
        <w:adjustRightInd w:val="0"/>
        <w:spacing w:after="0" w:line="240" w:lineRule="auto"/>
        <w:rPr>
          <w:rFonts w:ascii="Calisto MT" w:hAnsi="Calisto MT" w:cs="HelveticaNeue"/>
          <w:color w:val="000000"/>
          <w:sz w:val="24"/>
          <w:szCs w:val="18"/>
          <w:lang w:eastAsia="en-AU"/>
        </w:rPr>
      </w:pPr>
      <w:r w:rsidRPr="00836D13">
        <w:rPr>
          <w:rFonts w:ascii="Calisto MT" w:hAnsi="Calisto MT" w:cs="HelveticaNeue"/>
          <w:color w:val="000000"/>
          <w:sz w:val="24"/>
          <w:szCs w:val="18"/>
          <w:lang w:eastAsia="en-AU"/>
        </w:rPr>
        <w:t>Every conviction of the person for an offence, in a participating jurisdiction or elsewhere, and whether before or after the commencement of this Law,</w:t>
      </w:r>
    </w:p>
    <w:p w:rsidR="009E66D5" w:rsidRPr="00836D13" w:rsidRDefault="009E66D5" w:rsidP="00B13C9D">
      <w:pPr>
        <w:numPr>
          <w:ilvl w:val="0"/>
          <w:numId w:val="3"/>
        </w:numPr>
        <w:autoSpaceDE w:val="0"/>
        <w:autoSpaceDN w:val="0"/>
        <w:adjustRightInd w:val="0"/>
        <w:spacing w:after="0" w:line="240" w:lineRule="auto"/>
        <w:rPr>
          <w:rFonts w:ascii="Calisto MT" w:hAnsi="Calisto MT" w:cs="HelveticaNeue"/>
          <w:color w:val="000000"/>
          <w:sz w:val="24"/>
          <w:szCs w:val="18"/>
          <w:lang w:eastAsia="en-AU"/>
        </w:rPr>
      </w:pPr>
      <w:r w:rsidRPr="00836D13">
        <w:rPr>
          <w:rFonts w:ascii="Calisto MT" w:hAnsi="Calisto MT" w:cs="HelveticaNeue"/>
          <w:color w:val="000000"/>
          <w:sz w:val="24"/>
          <w:szCs w:val="18"/>
          <w:lang w:eastAsia="en-AU"/>
        </w:rPr>
        <w:t>Every plea of guilty or finding of guilt by a court of the person for an offence, in a participating jurisdiction or elsewhere, and whether before or after the commencement of this Law and whether or not a conviction is recorded for the offence</w:t>
      </w:r>
    </w:p>
    <w:p w:rsidR="009E66D5" w:rsidRPr="00836D13" w:rsidRDefault="009E66D5" w:rsidP="00B13C9D">
      <w:pPr>
        <w:numPr>
          <w:ilvl w:val="0"/>
          <w:numId w:val="3"/>
        </w:numPr>
        <w:autoSpaceDE w:val="0"/>
        <w:autoSpaceDN w:val="0"/>
        <w:adjustRightInd w:val="0"/>
        <w:spacing w:after="0" w:line="240" w:lineRule="auto"/>
        <w:rPr>
          <w:rFonts w:ascii="Calisto MT" w:hAnsi="Calisto MT" w:cs="HelveticaNeue"/>
          <w:color w:val="000000"/>
          <w:sz w:val="24"/>
          <w:szCs w:val="18"/>
          <w:lang w:eastAsia="en-AU"/>
        </w:rPr>
      </w:pPr>
      <w:r w:rsidRPr="00836D13">
        <w:rPr>
          <w:rFonts w:ascii="Calisto MT" w:hAnsi="Calisto MT" w:cs="HelveticaNeue"/>
          <w:color w:val="000000"/>
          <w:sz w:val="24"/>
          <w:szCs w:val="18"/>
          <w:lang w:eastAsia="en-AU"/>
        </w:rPr>
        <w:t>Every charge made against the person for an offence, in a participating jurisdiction or elsewhere, and whether before or after the commencement of this Law.</w:t>
      </w:r>
    </w:p>
    <w:p w:rsidR="009E66D5" w:rsidRPr="00836D13" w:rsidRDefault="009E66D5" w:rsidP="00B13C9D">
      <w:pPr>
        <w:autoSpaceDE w:val="0"/>
        <w:autoSpaceDN w:val="0"/>
        <w:adjustRightInd w:val="0"/>
        <w:spacing w:after="0" w:line="240" w:lineRule="auto"/>
        <w:rPr>
          <w:rFonts w:ascii="Calisto MT" w:hAnsi="Calisto MT" w:cs="HelveticaNeue"/>
          <w:color w:val="000000"/>
          <w:sz w:val="24"/>
          <w:szCs w:val="18"/>
          <w:lang w:eastAsia="en-AU"/>
        </w:rPr>
      </w:pPr>
      <w:r w:rsidRPr="00836D13">
        <w:rPr>
          <w:rFonts w:ascii="Calisto MT" w:hAnsi="Calisto MT" w:cs="HelveticaNeue"/>
          <w:color w:val="000000"/>
          <w:sz w:val="24"/>
          <w:szCs w:val="18"/>
          <w:lang w:eastAsia="en-AU"/>
        </w:rPr>
        <w:t>Under the National Law, spent convictions legislation does not apply to criminal history disclosure requirements.</w:t>
      </w:r>
    </w:p>
    <w:p w:rsidR="009E66D5" w:rsidRPr="00836D13" w:rsidRDefault="009E66D5" w:rsidP="00B13C9D">
      <w:pPr>
        <w:autoSpaceDE w:val="0"/>
        <w:autoSpaceDN w:val="0"/>
        <w:adjustRightInd w:val="0"/>
        <w:spacing w:after="0" w:line="240" w:lineRule="auto"/>
        <w:rPr>
          <w:rFonts w:ascii="Calisto MT" w:hAnsi="Calisto MT" w:cs="HelveticaNeue-Bold"/>
          <w:b/>
          <w:bCs/>
          <w:color w:val="000000"/>
          <w:sz w:val="24"/>
          <w:szCs w:val="24"/>
          <w:lang w:eastAsia="en-AU"/>
        </w:rPr>
      </w:pPr>
    </w:p>
    <w:p w:rsidR="009E66D5" w:rsidRPr="00836D13" w:rsidRDefault="009E66D5" w:rsidP="00B13C9D">
      <w:pPr>
        <w:autoSpaceDE w:val="0"/>
        <w:autoSpaceDN w:val="0"/>
        <w:adjustRightInd w:val="0"/>
        <w:spacing w:after="0" w:line="240" w:lineRule="auto"/>
        <w:rPr>
          <w:rFonts w:ascii="Calisto MT" w:hAnsi="Calisto MT" w:cs="HelveticaNeue-Bold"/>
          <w:b/>
          <w:bCs/>
          <w:color w:val="000000"/>
          <w:sz w:val="24"/>
          <w:szCs w:val="24"/>
          <w:lang w:eastAsia="en-AU"/>
        </w:rPr>
      </w:pPr>
      <w:r w:rsidRPr="00836D13">
        <w:rPr>
          <w:rFonts w:ascii="Calisto MT" w:hAnsi="Calisto MT" w:cs="HelveticaNeue-Bold"/>
          <w:b/>
          <w:bCs/>
          <w:color w:val="000000"/>
          <w:sz w:val="24"/>
          <w:szCs w:val="24"/>
          <w:lang w:eastAsia="en-AU"/>
        </w:rPr>
        <w:t>Review</w:t>
      </w:r>
    </w:p>
    <w:p w:rsidR="009E66D5" w:rsidRPr="00836D13" w:rsidRDefault="009E66D5" w:rsidP="00B13C9D">
      <w:pPr>
        <w:spacing w:after="0" w:line="360" w:lineRule="auto"/>
        <w:rPr>
          <w:rFonts w:ascii="Calisto MT" w:hAnsi="Calisto MT"/>
          <w:sz w:val="24"/>
          <w:szCs w:val="24"/>
          <w:lang w:eastAsia="en-AU"/>
        </w:rPr>
      </w:pPr>
      <w:r w:rsidRPr="00836D13">
        <w:rPr>
          <w:rFonts w:ascii="Calisto MT" w:hAnsi="Calisto MT"/>
          <w:sz w:val="24"/>
          <w:szCs w:val="24"/>
          <w:lang w:eastAsia="en-AU"/>
        </w:rPr>
        <w:t>This standard will commence on XXXX and cease on XXXX (3 year period).</w:t>
      </w:r>
    </w:p>
    <w:p w:rsidR="009E66D5" w:rsidRPr="00836D13" w:rsidRDefault="009E66D5" w:rsidP="00B13C9D">
      <w:pPr>
        <w:spacing w:after="0" w:line="240" w:lineRule="auto"/>
        <w:rPr>
          <w:rFonts w:ascii="Calisto MT" w:hAnsi="Calisto MT"/>
          <w:sz w:val="24"/>
          <w:szCs w:val="24"/>
          <w:lang w:eastAsia="en-AU"/>
        </w:rPr>
      </w:pPr>
    </w:p>
    <w:p w:rsidR="009E66D5" w:rsidRPr="00836D13" w:rsidRDefault="009E66D5">
      <w:pPr>
        <w:rPr>
          <w:rFonts w:ascii="Calisto MT" w:hAnsi="Calisto MT"/>
        </w:rPr>
      </w:pPr>
    </w:p>
    <w:sectPr w:rsidR="009E66D5" w:rsidRPr="00836D13" w:rsidSect="00E57A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A0" w:rsidRDefault="00F501A0">
      <w:r>
        <w:separator/>
      </w:r>
    </w:p>
  </w:endnote>
  <w:endnote w:type="continuationSeparator" w:id="0">
    <w:p w:rsidR="00F501A0" w:rsidRDefault="00F5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D5" w:rsidRDefault="009E6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D5" w:rsidRDefault="009E6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D5" w:rsidRDefault="009E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A0" w:rsidRDefault="00F501A0">
      <w:r>
        <w:separator/>
      </w:r>
    </w:p>
  </w:footnote>
  <w:footnote w:type="continuationSeparator" w:id="0">
    <w:p w:rsidR="00F501A0" w:rsidRDefault="00F5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D5" w:rsidRDefault="00F501A0">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D5" w:rsidRDefault="00F501A0">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6D5" w:rsidRDefault="00F501A0">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C73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DC4F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746C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22DE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8CD2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0B2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323F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42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E0B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2E48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5A8DCE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00000003"/>
    <w:multiLevelType w:val="multilevel"/>
    <w:tmpl w:val="B6B4B81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0000006"/>
    <w:multiLevelType w:val="multilevel"/>
    <w:tmpl w:val="F0AED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9D"/>
    <w:rsid w:val="00594E57"/>
    <w:rsid w:val="00836D13"/>
    <w:rsid w:val="008C7AE6"/>
    <w:rsid w:val="009E66D5"/>
    <w:rsid w:val="00AC1C1F"/>
    <w:rsid w:val="00B13C9D"/>
    <w:rsid w:val="00CF5D04"/>
    <w:rsid w:val="00DD4949"/>
    <w:rsid w:val="00E476C6"/>
    <w:rsid w:val="00E57AA7"/>
    <w:rsid w:val="00F50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A7"/>
    <w:pPr>
      <w:spacing w:after="200" w:line="276" w:lineRule="auto"/>
    </w:pPr>
    <w:rPr>
      <w:lang w:eastAsia="en-US"/>
    </w:rPr>
  </w:style>
  <w:style w:type="paragraph" w:styleId="Heading1">
    <w:name w:val="heading 1"/>
    <w:basedOn w:val="Normal"/>
    <w:next w:val="Normal"/>
    <w:link w:val="Heading1Char"/>
    <w:uiPriority w:val="99"/>
    <w:qFormat/>
    <w:locked/>
    <w:rsid w:val="00836D1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836D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44"/>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310644"/>
    <w:rPr>
      <w:rFonts w:asciiTheme="majorHAnsi" w:eastAsiaTheme="majorEastAsia" w:hAnsiTheme="majorHAnsi" w:cstheme="majorBidi"/>
      <w:b/>
      <w:bCs/>
      <w:sz w:val="26"/>
      <w:szCs w:val="26"/>
      <w:lang w:eastAsia="en-US"/>
    </w:rPr>
  </w:style>
  <w:style w:type="paragraph" w:styleId="CommentText">
    <w:name w:val="annotation text"/>
    <w:basedOn w:val="Normal"/>
    <w:link w:val="CommentTextChar"/>
    <w:uiPriority w:val="99"/>
    <w:semiHidden/>
    <w:rsid w:val="00B13C9D"/>
    <w:pPr>
      <w:spacing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uiPriority w:val="99"/>
    <w:semiHidden/>
    <w:locked/>
    <w:rsid w:val="00B13C9D"/>
    <w:rPr>
      <w:rFonts w:ascii="Times New Roman" w:hAnsi="Times New Roman" w:cs="Times New Roman"/>
      <w:sz w:val="20"/>
      <w:szCs w:val="20"/>
      <w:lang w:eastAsia="en-AU"/>
    </w:rPr>
  </w:style>
  <w:style w:type="character" w:styleId="CommentReference">
    <w:name w:val="annotation reference"/>
    <w:basedOn w:val="DefaultParagraphFont"/>
    <w:uiPriority w:val="99"/>
    <w:semiHidden/>
    <w:rsid w:val="00B13C9D"/>
    <w:rPr>
      <w:rFonts w:cs="Times New Roman"/>
      <w:sz w:val="16"/>
      <w:szCs w:val="16"/>
    </w:rPr>
  </w:style>
  <w:style w:type="paragraph" w:styleId="BalloonText">
    <w:name w:val="Balloon Text"/>
    <w:basedOn w:val="Normal"/>
    <w:link w:val="BalloonTextChar"/>
    <w:uiPriority w:val="99"/>
    <w:semiHidden/>
    <w:rsid w:val="00B1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C9D"/>
    <w:rPr>
      <w:rFonts w:ascii="Tahoma" w:hAnsi="Tahoma" w:cs="Tahoma"/>
      <w:sz w:val="16"/>
      <w:szCs w:val="16"/>
    </w:rPr>
  </w:style>
  <w:style w:type="paragraph" w:styleId="Header">
    <w:name w:val="header"/>
    <w:basedOn w:val="Normal"/>
    <w:link w:val="HeaderChar"/>
    <w:uiPriority w:val="99"/>
    <w:rsid w:val="008C7AE6"/>
    <w:pPr>
      <w:tabs>
        <w:tab w:val="center" w:pos="4153"/>
        <w:tab w:val="right" w:pos="8306"/>
      </w:tabs>
    </w:pPr>
  </w:style>
  <w:style w:type="character" w:customStyle="1" w:styleId="HeaderChar">
    <w:name w:val="Header Char"/>
    <w:basedOn w:val="DefaultParagraphFont"/>
    <w:link w:val="Header"/>
    <w:uiPriority w:val="99"/>
    <w:semiHidden/>
    <w:rsid w:val="00310644"/>
    <w:rPr>
      <w:lang w:eastAsia="en-US"/>
    </w:rPr>
  </w:style>
  <w:style w:type="paragraph" w:styleId="Footer">
    <w:name w:val="footer"/>
    <w:basedOn w:val="Normal"/>
    <w:link w:val="FooterChar"/>
    <w:uiPriority w:val="99"/>
    <w:rsid w:val="008C7AE6"/>
    <w:pPr>
      <w:tabs>
        <w:tab w:val="center" w:pos="4153"/>
        <w:tab w:val="right" w:pos="8306"/>
      </w:tabs>
    </w:pPr>
  </w:style>
  <w:style w:type="character" w:customStyle="1" w:styleId="FooterChar">
    <w:name w:val="Footer Char"/>
    <w:basedOn w:val="DefaultParagraphFont"/>
    <w:link w:val="Footer"/>
    <w:uiPriority w:val="99"/>
    <w:semiHidden/>
    <w:rsid w:val="003106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A7"/>
    <w:pPr>
      <w:spacing w:after="200" w:line="276" w:lineRule="auto"/>
    </w:pPr>
    <w:rPr>
      <w:lang w:eastAsia="en-US"/>
    </w:rPr>
  </w:style>
  <w:style w:type="paragraph" w:styleId="Heading1">
    <w:name w:val="heading 1"/>
    <w:basedOn w:val="Normal"/>
    <w:next w:val="Normal"/>
    <w:link w:val="Heading1Char"/>
    <w:uiPriority w:val="99"/>
    <w:qFormat/>
    <w:locked/>
    <w:rsid w:val="00836D1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836D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44"/>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310644"/>
    <w:rPr>
      <w:rFonts w:asciiTheme="majorHAnsi" w:eastAsiaTheme="majorEastAsia" w:hAnsiTheme="majorHAnsi" w:cstheme="majorBidi"/>
      <w:b/>
      <w:bCs/>
      <w:sz w:val="26"/>
      <w:szCs w:val="26"/>
      <w:lang w:eastAsia="en-US"/>
    </w:rPr>
  </w:style>
  <w:style w:type="paragraph" w:styleId="CommentText">
    <w:name w:val="annotation text"/>
    <w:basedOn w:val="Normal"/>
    <w:link w:val="CommentTextChar"/>
    <w:uiPriority w:val="99"/>
    <w:semiHidden/>
    <w:rsid w:val="00B13C9D"/>
    <w:pPr>
      <w:spacing w:after="0" w:line="240" w:lineRule="auto"/>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uiPriority w:val="99"/>
    <w:semiHidden/>
    <w:locked/>
    <w:rsid w:val="00B13C9D"/>
    <w:rPr>
      <w:rFonts w:ascii="Times New Roman" w:hAnsi="Times New Roman" w:cs="Times New Roman"/>
      <w:sz w:val="20"/>
      <w:szCs w:val="20"/>
      <w:lang w:eastAsia="en-AU"/>
    </w:rPr>
  </w:style>
  <w:style w:type="character" w:styleId="CommentReference">
    <w:name w:val="annotation reference"/>
    <w:basedOn w:val="DefaultParagraphFont"/>
    <w:uiPriority w:val="99"/>
    <w:semiHidden/>
    <w:rsid w:val="00B13C9D"/>
    <w:rPr>
      <w:rFonts w:cs="Times New Roman"/>
      <w:sz w:val="16"/>
      <w:szCs w:val="16"/>
    </w:rPr>
  </w:style>
  <w:style w:type="paragraph" w:styleId="BalloonText">
    <w:name w:val="Balloon Text"/>
    <w:basedOn w:val="Normal"/>
    <w:link w:val="BalloonTextChar"/>
    <w:uiPriority w:val="99"/>
    <w:semiHidden/>
    <w:rsid w:val="00B13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C9D"/>
    <w:rPr>
      <w:rFonts w:ascii="Tahoma" w:hAnsi="Tahoma" w:cs="Tahoma"/>
      <w:sz w:val="16"/>
      <w:szCs w:val="16"/>
    </w:rPr>
  </w:style>
  <w:style w:type="paragraph" w:styleId="Header">
    <w:name w:val="header"/>
    <w:basedOn w:val="Normal"/>
    <w:link w:val="HeaderChar"/>
    <w:uiPriority w:val="99"/>
    <w:rsid w:val="008C7AE6"/>
    <w:pPr>
      <w:tabs>
        <w:tab w:val="center" w:pos="4153"/>
        <w:tab w:val="right" w:pos="8306"/>
      </w:tabs>
    </w:pPr>
  </w:style>
  <w:style w:type="character" w:customStyle="1" w:styleId="HeaderChar">
    <w:name w:val="Header Char"/>
    <w:basedOn w:val="DefaultParagraphFont"/>
    <w:link w:val="Header"/>
    <w:uiPriority w:val="99"/>
    <w:semiHidden/>
    <w:rsid w:val="00310644"/>
    <w:rPr>
      <w:lang w:eastAsia="en-US"/>
    </w:rPr>
  </w:style>
  <w:style w:type="paragraph" w:styleId="Footer">
    <w:name w:val="footer"/>
    <w:basedOn w:val="Normal"/>
    <w:link w:val="FooterChar"/>
    <w:uiPriority w:val="99"/>
    <w:rsid w:val="008C7AE6"/>
    <w:pPr>
      <w:tabs>
        <w:tab w:val="center" w:pos="4153"/>
        <w:tab w:val="right" w:pos="8306"/>
      </w:tabs>
    </w:pPr>
  </w:style>
  <w:style w:type="character" w:customStyle="1" w:styleId="FooterChar">
    <w:name w:val="Footer Char"/>
    <w:basedOn w:val="DefaultParagraphFont"/>
    <w:link w:val="Footer"/>
    <w:uiPriority w:val="99"/>
    <w:semiHidden/>
    <w:rsid w:val="003106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2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Newcastle</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Tony</cp:lastModifiedBy>
  <cp:revision>2</cp:revision>
  <dcterms:created xsi:type="dcterms:W3CDTF">2012-11-14T23:08:00Z</dcterms:created>
  <dcterms:modified xsi:type="dcterms:W3CDTF">2012-11-14T23:08:00Z</dcterms:modified>
</cp:coreProperties>
</file>